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220" w:rsidRDefault="002A5220" w:rsidP="002A5220">
      <w:pPr>
        <w:jc w:val="center"/>
        <w:rPr>
          <w:b/>
        </w:rPr>
      </w:pPr>
      <w:r w:rsidRPr="00F06C84">
        <w:rPr>
          <w:b/>
        </w:rPr>
        <w:t>Internal Funding Opportunities</w:t>
      </w:r>
    </w:p>
    <w:p w:rsidR="002A5220" w:rsidRPr="00F06C84" w:rsidRDefault="002A5220" w:rsidP="002A5220">
      <w:pPr>
        <w:jc w:val="center"/>
        <w:rPr>
          <w:b/>
        </w:rPr>
      </w:pPr>
    </w:p>
    <w:tbl>
      <w:tblPr>
        <w:tblW w:w="13189" w:type="dxa"/>
        <w:tblLayout w:type="fixed"/>
        <w:tblCellMar>
          <w:left w:w="0" w:type="dxa"/>
          <w:right w:w="0" w:type="dxa"/>
        </w:tblCellMar>
        <w:tblLook w:val="04A0" w:firstRow="1" w:lastRow="0" w:firstColumn="1" w:lastColumn="0" w:noHBand="0" w:noVBand="1"/>
      </w:tblPr>
      <w:tblGrid>
        <w:gridCol w:w="1647"/>
        <w:gridCol w:w="3051"/>
        <w:gridCol w:w="5941"/>
        <w:gridCol w:w="1311"/>
        <w:gridCol w:w="1239"/>
      </w:tblGrid>
      <w:tr w:rsidR="002A5220" w:rsidRPr="00C964F0" w:rsidTr="00C3573C">
        <w:trPr>
          <w:trHeight w:val="665"/>
        </w:trPr>
        <w:tc>
          <w:tcPr>
            <w:tcW w:w="1647" w:type="dxa"/>
            <w:tcBorders>
              <w:top w:val="nil"/>
              <w:left w:val="single" w:sz="8" w:space="0" w:color="auto"/>
              <w:bottom w:val="single" w:sz="8" w:space="0" w:color="auto"/>
              <w:right w:val="single" w:sz="8" w:space="0" w:color="auto"/>
            </w:tcBorders>
            <w:shd w:val="clear" w:color="auto" w:fill="007A53"/>
            <w:tcMar>
              <w:top w:w="0" w:type="dxa"/>
              <w:left w:w="108" w:type="dxa"/>
              <w:bottom w:w="0" w:type="dxa"/>
              <w:right w:w="108" w:type="dxa"/>
            </w:tcMar>
            <w:vAlign w:val="center"/>
            <w:hideMark/>
          </w:tcPr>
          <w:p w:rsidR="002A5220" w:rsidRPr="00C964F0" w:rsidRDefault="002A5220" w:rsidP="00C3573C">
            <w:pPr>
              <w:spacing w:line="240" w:lineRule="auto"/>
              <w:jc w:val="center"/>
              <w:rPr>
                <w:b/>
                <w:bCs/>
                <w:smallCaps/>
                <w:color w:val="FFFFFF"/>
                <w:sz w:val="20"/>
                <w:szCs w:val="20"/>
              </w:rPr>
            </w:pPr>
            <w:r w:rsidRPr="00C964F0">
              <w:rPr>
                <w:b/>
                <w:bCs/>
                <w:color w:val="FFFFFF"/>
                <w:sz w:val="20"/>
                <w:szCs w:val="20"/>
              </w:rPr>
              <w:t>Funding Sponsor</w:t>
            </w:r>
          </w:p>
        </w:tc>
        <w:tc>
          <w:tcPr>
            <w:tcW w:w="3051" w:type="dxa"/>
            <w:tcBorders>
              <w:top w:val="nil"/>
              <w:left w:val="nil"/>
              <w:bottom w:val="single" w:sz="8" w:space="0" w:color="auto"/>
              <w:right w:val="single" w:sz="8" w:space="0" w:color="auto"/>
            </w:tcBorders>
            <w:shd w:val="clear" w:color="auto" w:fill="007A53"/>
            <w:tcMar>
              <w:top w:w="0" w:type="dxa"/>
              <w:left w:w="108" w:type="dxa"/>
              <w:bottom w:w="0" w:type="dxa"/>
              <w:right w:w="108" w:type="dxa"/>
            </w:tcMar>
            <w:vAlign w:val="center"/>
            <w:hideMark/>
          </w:tcPr>
          <w:p w:rsidR="002A5220" w:rsidRPr="00C964F0" w:rsidRDefault="002A5220" w:rsidP="00C3573C">
            <w:pPr>
              <w:spacing w:line="240" w:lineRule="auto"/>
              <w:jc w:val="center"/>
              <w:rPr>
                <w:b/>
                <w:bCs/>
                <w:smallCaps/>
                <w:color w:val="FFFFFF"/>
                <w:sz w:val="20"/>
                <w:szCs w:val="20"/>
              </w:rPr>
            </w:pPr>
            <w:r w:rsidRPr="00C964F0">
              <w:rPr>
                <w:b/>
                <w:bCs/>
                <w:color w:val="FFFFFF"/>
                <w:sz w:val="20"/>
                <w:szCs w:val="20"/>
              </w:rPr>
              <w:t>Program Title</w:t>
            </w:r>
            <w:r>
              <w:rPr>
                <w:b/>
                <w:bCs/>
                <w:color w:val="FFFFFF"/>
                <w:sz w:val="20"/>
                <w:szCs w:val="20"/>
              </w:rPr>
              <w:t>/Web Link</w:t>
            </w:r>
          </w:p>
        </w:tc>
        <w:tc>
          <w:tcPr>
            <w:tcW w:w="5941" w:type="dxa"/>
            <w:tcBorders>
              <w:top w:val="nil"/>
              <w:left w:val="nil"/>
              <w:bottom w:val="single" w:sz="8" w:space="0" w:color="auto"/>
              <w:right w:val="single" w:sz="8" w:space="0" w:color="auto"/>
            </w:tcBorders>
            <w:shd w:val="clear" w:color="auto" w:fill="007A53"/>
            <w:tcMar>
              <w:top w:w="0" w:type="dxa"/>
              <w:left w:w="108" w:type="dxa"/>
              <w:bottom w:w="0" w:type="dxa"/>
              <w:right w:w="108" w:type="dxa"/>
            </w:tcMar>
            <w:vAlign w:val="center"/>
            <w:hideMark/>
          </w:tcPr>
          <w:p w:rsidR="002A5220" w:rsidRPr="00C964F0" w:rsidRDefault="002A5220" w:rsidP="00C3573C">
            <w:pPr>
              <w:spacing w:line="240" w:lineRule="auto"/>
              <w:jc w:val="center"/>
              <w:rPr>
                <w:b/>
                <w:bCs/>
                <w:color w:val="FFFFFF"/>
                <w:sz w:val="20"/>
                <w:szCs w:val="20"/>
              </w:rPr>
            </w:pPr>
            <w:r w:rsidRPr="00C964F0">
              <w:rPr>
                <w:b/>
                <w:bCs/>
                <w:color w:val="FFFFFF"/>
                <w:sz w:val="20"/>
                <w:szCs w:val="20"/>
              </w:rPr>
              <w:t>Program</w:t>
            </w:r>
          </w:p>
        </w:tc>
        <w:tc>
          <w:tcPr>
            <w:tcW w:w="1311" w:type="dxa"/>
            <w:tcBorders>
              <w:top w:val="nil"/>
              <w:left w:val="nil"/>
              <w:bottom w:val="single" w:sz="8" w:space="0" w:color="auto"/>
              <w:right w:val="single" w:sz="8" w:space="0" w:color="auto"/>
            </w:tcBorders>
            <w:shd w:val="clear" w:color="auto" w:fill="007A53"/>
            <w:tcMar>
              <w:top w:w="0" w:type="dxa"/>
              <w:left w:w="108" w:type="dxa"/>
              <w:bottom w:w="0" w:type="dxa"/>
              <w:right w:w="108" w:type="dxa"/>
            </w:tcMar>
            <w:vAlign w:val="center"/>
            <w:hideMark/>
          </w:tcPr>
          <w:p w:rsidR="002A5220" w:rsidRPr="00C964F0" w:rsidRDefault="002A5220" w:rsidP="00C3573C">
            <w:pPr>
              <w:spacing w:line="240" w:lineRule="auto"/>
              <w:jc w:val="center"/>
              <w:rPr>
                <w:b/>
                <w:bCs/>
                <w:smallCaps/>
                <w:color w:val="FFFFFF"/>
                <w:sz w:val="20"/>
                <w:szCs w:val="20"/>
              </w:rPr>
            </w:pPr>
            <w:r w:rsidRPr="00C964F0">
              <w:rPr>
                <w:b/>
                <w:bCs/>
                <w:color w:val="FFFFFF"/>
                <w:sz w:val="20"/>
                <w:szCs w:val="20"/>
              </w:rPr>
              <w:t>Amount of Award</w:t>
            </w:r>
          </w:p>
        </w:tc>
        <w:tc>
          <w:tcPr>
            <w:tcW w:w="1239" w:type="dxa"/>
            <w:tcBorders>
              <w:top w:val="nil"/>
              <w:left w:val="nil"/>
              <w:bottom w:val="single" w:sz="8" w:space="0" w:color="auto"/>
              <w:right w:val="single" w:sz="8" w:space="0" w:color="auto"/>
            </w:tcBorders>
            <w:shd w:val="clear" w:color="auto" w:fill="007A53"/>
            <w:tcMar>
              <w:top w:w="0" w:type="dxa"/>
              <w:left w:w="108" w:type="dxa"/>
              <w:bottom w:w="0" w:type="dxa"/>
              <w:right w:w="108" w:type="dxa"/>
            </w:tcMar>
            <w:vAlign w:val="center"/>
            <w:hideMark/>
          </w:tcPr>
          <w:p w:rsidR="002A5220" w:rsidRPr="00C964F0" w:rsidRDefault="002A5220" w:rsidP="00C3573C">
            <w:pPr>
              <w:spacing w:line="240" w:lineRule="auto"/>
              <w:jc w:val="center"/>
              <w:rPr>
                <w:b/>
                <w:bCs/>
                <w:smallCaps/>
                <w:color w:val="FFFFFF"/>
                <w:sz w:val="20"/>
                <w:szCs w:val="20"/>
              </w:rPr>
            </w:pPr>
            <w:r w:rsidRPr="00C964F0">
              <w:rPr>
                <w:b/>
                <w:bCs/>
                <w:color w:val="FFFFFF"/>
                <w:sz w:val="20"/>
                <w:szCs w:val="20"/>
              </w:rPr>
              <w:t>Due Date</w:t>
            </w:r>
          </w:p>
        </w:tc>
      </w:tr>
      <w:tr w:rsidR="002A5220" w:rsidRPr="00C964F0" w:rsidTr="00C3573C">
        <w:trPr>
          <w:trHeight w:val="322"/>
        </w:trPr>
        <w:tc>
          <w:tcPr>
            <w:tcW w:w="1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220" w:rsidRDefault="002A5220" w:rsidP="00C3573C">
            <w:pPr>
              <w:spacing w:line="240" w:lineRule="auto"/>
              <w:rPr>
                <w:sz w:val="20"/>
                <w:szCs w:val="20"/>
              </w:rPr>
            </w:pPr>
            <w:proofErr w:type="spellStart"/>
            <w:r w:rsidRPr="00E73B93">
              <w:rPr>
                <w:sz w:val="20"/>
                <w:szCs w:val="20"/>
              </w:rPr>
              <w:t>Blaustein</w:t>
            </w:r>
            <w:proofErr w:type="spellEnd"/>
            <w:r w:rsidRPr="00E73B93">
              <w:rPr>
                <w:sz w:val="20"/>
                <w:szCs w:val="20"/>
              </w:rPr>
              <w:t xml:space="preserve"> Pain Research Fund Grants</w:t>
            </w:r>
          </w:p>
        </w:tc>
        <w:tc>
          <w:tcPr>
            <w:tcW w:w="3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220" w:rsidRDefault="00B716A4" w:rsidP="00C3573C">
            <w:pPr>
              <w:spacing w:line="240" w:lineRule="auto"/>
              <w:jc w:val="center"/>
              <w:rPr>
                <w:sz w:val="20"/>
                <w:szCs w:val="20"/>
              </w:rPr>
            </w:pPr>
            <w:hyperlink r:id="rId4" w:history="1">
              <w:r w:rsidR="002A5220" w:rsidRPr="00496DAA">
                <w:rPr>
                  <w:rStyle w:val="Hyperlink"/>
                  <w:sz w:val="20"/>
                  <w:szCs w:val="20"/>
                </w:rPr>
                <w:t>http://www.hopkinsmedicine.org/neurology_neurosurgery/education/blaustein_pain/grants.html</w:t>
              </w:r>
            </w:hyperlink>
          </w:p>
          <w:p w:rsidR="002A5220" w:rsidRDefault="002A5220" w:rsidP="00C3573C">
            <w:pPr>
              <w:spacing w:line="240" w:lineRule="auto"/>
              <w:jc w:val="center"/>
              <w:rPr>
                <w:sz w:val="20"/>
                <w:szCs w:val="20"/>
              </w:rPr>
            </w:pPr>
          </w:p>
        </w:tc>
        <w:tc>
          <w:tcPr>
            <w:tcW w:w="5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220" w:rsidRPr="003676BE" w:rsidRDefault="002A5220" w:rsidP="00C3573C">
            <w:pPr>
              <w:spacing w:before="100" w:beforeAutospacing="1" w:after="100" w:afterAutospacing="1" w:line="240" w:lineRule="auto"/>
              <w:rPr>
                <w:sz w:val="20"/>
                <w:szCs w:val="20"/>
              </w:rPr>
            </w:pPr>
            <w:proofErr w:type="spellStart"/>
            <w:r w:rsidRPr="00E73B93">
              <w:rPr>
                <w:sz w:val="20"/>
                <w:szCs w:val="20"/>
              </w:rPr>
              <w:t>Blaustein</w:t>
            </w:r>
            <w:proofErr w:type="spellEnd"/>
            <w:r w:rsidRPr="00E73B93">
              <w:rPr>
                <w:sz w:val="20"/>
                <w:szCs w:val="20"/>
              </w:rPr>
              <w:t xml:space="preserve"> Pain Research Fund Grants support clinical and basic research in pain conducted within Johns Hopkins Medicine with two grant cycles (Spring and Fall) each year.</w:t>
            </w:r>
            <w:r>
              <w:rPr>
                <w:sz w:val="20"/>
                <w:szCs w:val="20"/>
              </w:rPr>
              <w:t xml:space="preserve"> Grants can be used to e</w:t>
            </w:r>
            <w:r w:rsidRPr="00E73B93">
              <w:rPr>
                <w:sz w:val="20"/>
                <w:szCs w:val="20"/>
              </w:rPr>
              <w:t>mpower a junior faculty member to develop a rese</w:t>
            </w:r>
            <w:r>
              <w:rPr>
                <w:sz w:val="20"/>
                <w:szCs w:val="20"/>
              </w:rPr>
              <w:t>arch project; a</w:t>
            </w:r>
            <w:r w:rsidRPr="00E73B93">
              <w:rPr>
                <w:sz w:val="20"/>
                <w:szCs w:val="20"/>
              </w:rPr>
              <w:t>dvance a project to a point whe</w:t>
            </w:r>
            <w:r>
              <w:rPr>
                <w:sz w:val="20"/>
                <w:szCs w:val="20"/>
              </w:rPr>
              <w:t>re it can earn external support; c</w:t>
            </w:r>
            <w:r w:rsidRPr="00E73B93">
              <w:rPr>
                <w:sz w:val="20"/>
                <w:szCs w:val="20"/>
              </w:rPr>
              <w:t>om</w:t>
            </w:r>
            <w:r>
              <w:rPr>
                <w:sz w:val="20"/>
                <w:szCs w:val="20"/>
              </w:rPr>
              <w:t>plete a small research project; s</w:t>
            </w:r>
            <w:r w:rsidRPr="00E73B93">
              <w:rPr>
                <w:sz w:val="20"/>
                <w:szCs w:val="20"/>
              </w:rPr>
              <w:t xml:space="preserve">upport core personnel such as clinical outcomes coordinators, computer specialists, </w:t>
            </w:r>
            <w:r>
              <w:rPr>
                <w:sz w:val="20"/>
                <w:szCs w:val="20"/>
              </w:rPr>
              <w:t>and biostatisticians; and k</w:t>
            </w:r>
            <w:r w:rsidRPr="00E73B93">
              <w:rPr>
                <w:sz w:val="20"/>
                <w:szCs w:val="20"/>
              </w:rPr>
              <w:t>eep research activities up and running "between grants.”</w:t>
            </w:r>
          </w:p>
        </w:tc>
        <w:tc>
          <w:tcPr>
            <w:tcW w:w="1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220" w:rsidRPr="00C964F0" w:rsidRDefault="002A5220" w:rsidP="00C3573C">
            <w:pPr>
              <w:spacing w:line="240" w:lineRule="auto"/>
              <w:jc w:val="center"/>
              <w:rPr>
                <w:sz w:val="20"/>
                <w:szCs w:val="20"/>
              </w:rPr>
            </w:pPr>
            <w:r>
              <w:rPr>
                <w:sz w:val="20"/>
                <w:szCs w:val="20"/>
              </w:rPr>
              <w:t>Varies</w:t>
            </w:r>
          </w:p>
        </w:tc>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220" w:rsidRPr="00C964F0" w:rsidRDefault="002B33A4" w:rsidP="00C3573C">
            <w:pPr>
              <w:spacing w:line="240" w:lineRule="auto"/>
              <w:jc w:val="center"/>
              <w:rPr>
                <w:sz w:val="20"/>
                <w:szCs w:val="20"/>
              </w:rPr>
            </w:pPr>
            <w:r>
              <w:rPr>
                <w:sz w:val="20"/>
                <w:szCs w:val="20"/>
              </w:rPr>
              <w:t>5/</w:t>
            </w:r>
            <w:r w:rsidR="00B06ADE">
              <w:rPr>
                <w:sz w:val="20"/>
                <w:szCs w:val="20"/>
              </w:rPr>
              <w:t>4/18</w:t>
            </w:r>
          </w:p>
        </w:tc>
      </w:tr>
      <w:tr w:rsidR="002A5220" w:rsidRPr="00C964F0" w:rsidTr="00C3573C">
        <w:trPr>
          <w:trHeight w:val="322"/>
        </w:trPr>
        <w:tc>
          <w:tcPr>
            <w:tcW w:w="1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220" w:rsidRPr="00C964F0" w:rsidRDefault="002A5220" w:rsidP="00C3573C">
            <w:pPr>
              <w:spacing w:line="240" w:lineRule="auto"/>
              <w:rPr>
                <w:sz w:val="20"/>
                <w:szCs w:val="20"/>
              </w:rPr>
            </w:pPr>
            <w:r>
              <w:rPr>
                <w:sz w:val="20"/>
                <w:szCs w:val="20"/>
              </w:rPr>
              <w:t>Institute for Clinical &amp; Translational Research (ICTR)</w:t>
            </w:r>
          </w:p>
        </w:tc>
        <w:tc>
          <w:tcPr>
            <w:tcW w:w="3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220" w:rsidRDefault="00B716A4" w:rsidP="00C3573C">
            <w:pPr>
              <w:spacing w:line="240" w:lineRule="auto"/>
              <w:jc w:val="center"/>
              <w:rPr>
                <w:sz w:val="20"/>
                <w:szCs w:val="20"/>
              </w:rPr>
            </w:pPr>
            <w:hyperlink r:id="rId5" w:history="1">
              <w:r w:rsidR="002A5220" w:rsidRPr="00C43482">
                <w:rPr>
                  <w:rStyle w:val="Hyperlink"/>
                  <w:sz w:val="20"/>
                  <w:szCs w:val="20"/>
                </w:rPr>
                <w:t>http://ictr.johnshopkins.edu/funding_opps/funding-opportunities/</w:t>
              </w:r>
            </w:hyperlink>
          </w:p>
          <w:p w:rsidR="002A5220" w:rsidRPr="00C964F0" w:rsidRDefault="002A5220" w:rsidP="00C3573C">
            <w:pPr>
              <w:spacing w:line="240" w:lineRule="auto"/>
              <w:jc w:val="center"/>
              <w:rPr>
                <w:sz w:val="20"/>
                <w:szCs w:val="20"/>
              </w:rPr>
            </w:pPr>
          </w:p>
        </w:tc>
        <w:tc>
          <w:tcPr>
            <w:tcW w:w="5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220" w:rsidRPr="00C964F0" w:rsidRDefault="002A5220" w:rsidP="00C3573C">
            <w:pPr>
              <w:spacing w:line="240" w:lineRule="auto"/>
              <w:rPr>
                <w:sz w:val="20"/>
                <w:szCs w:val="20"/>
              </w:rPr>
            </w:pPr>
            <w:r>
              <w:rPr>
                <w:sz w:val="20"/>
                <w:szCs w:val="20"/>
              </w:rPr>
              <w:t xml:space="preserve">The Johns Hopkins ICTR </w:t>
            </w:r>
            <w:r w:rsidRPr="00DB1AF1">
              <w:rPr>
                <w:sz w:val="20"/>
                <w:szCs w:val="20"/>
              </w:rPr>
              <w:t xml:space="preserve">provides Johns Hopkins faculty with opportunities to obtain funding for pilot projects through </w:t>
            </w:r>
            <w:r>
              <w:rPr>
                <w:sz w:val="20"/>
                <w:szCs w:val="20"/>
              </w:rPr>
              <w:t>their</w:t>
            </w:r>
            <w:r w:rsidRPr="00DB1AF1">
              <w:rPr>
                <w:sz w:val="20"/>
                <w:szCs w:val="20"/>
              </w:rPr>
              <w:t xml:space="preserve"> </w:t>
            </w:r>
            <w:r w:rsidRPr="00DB1AF1">
              <w:rPr>
                <w:b/>
                <w:color w:val="auto"/>
                <w:sz w:val="20"/>
                <w:szCs w:val="20"/>
              </w:rPr>
              <w:t>Accelerated Translational Incubator Pilot Program (ATIP)</w:t>
            </w:r>
            <w:r>
              <w:rPr>
                <w:sz w:val="20"/>
                <w:szCs w:val="20"/>
              </w:rPr>
              <w:t xml:space="preserve">. </w:t>
            </w:r>
            <w:r w:rsidRPr="00DB1AF1">
              <w:rPr>
                <w:sz w:val="20"/>
                <w:szCs w:val="20"/>
              </w:rPr>
              <w:t xml:space="preserve">Additionally, </w:t>
            </w:r>
            <w:r>
              <w:rPr>
                <w:sz w:val="20"/>
                <w:szCs w:val="20"/>
              </w:rPr>
              <w:t>they</w:t>
            </w:r>
            <w:r w:rsidRPr="00DB1AF1">
              <w:rPr>
                <w:sz w:val="20"/>
                <w:szCs w:val="20"/>
              </w:rPr>
              <w:t xml:space="preserve"> work with other programs throughout the university to coordinate the awarding of pilot funding in related clinical/translational areas. </w:t>
            </w:r>
            <w:r>
              <w:rPr>
                <w:bCs/>
                <w:sz w:val="20"/>
                <w:szCs w:val="20"/>
              </w:rPr>
              <w:t xml:space="preserve">These funding opportunities change regularly, so check their website for </w:t>
            </w:r>
            <w:r>
              <w:rPr>
                <w:sz w:val="20"/>
                <w:szCs w:val="20"/>
              </w:rPr>
              <w:t>current opportunities.</w:t>
            </w:r>
          </w:p>
        </w:tc>
        <w:tc>
          <w:tcPr>
            <w:tcW w:w="1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220" w:rsidRPr="00C964F0" w:rsidRDefault="002A5220" w:rsidP="00C3573C">
            <w:pPr>
              <w:spacing w:line="240" w:lineRule="auto"/>
              <w:jc w:val="center"/>
              <w:rPr>
                <w:sz w:val="20"/>
                <w:szCs w:val="20"/>
              </w:rPr>
            </w:pPr>
            <w:r>
              <w:rPr>
                <w:sz w:val="20"/>
                <w:szCs w:val="20"/>
              </w:rPr>
              <w:t>Varies</w:t>
            </w:r>
          </w:p>
        </w:tc>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220" w:rsidRPr="00C964F0" w:rsidRDefault="002A5220" w:rsidP="00C3573C">
            <w:pPr>
              <w:spacing w:line="240" w:lineRule="auto"/>
              <w:jc w:val="center"/>
              <w:rPr>
                <w:sz w:val="20"/>
                <w:szCs w:val="20"/>
              </w:rPr>
            </w:pPr>
          </w:p>
        </w:tc>
      </w:tr>
      <w:tr w:rsidR="002A5220" w:rsidRPr="00C964F0" w:rsidTr="00C3573C">
        <w:trPr>
          <w:trHeight w:val="322"/>
        </w:trPr>
        <w:tc>
          <w:tcPr>
            <w:tcW w:w="1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220" w:rsidRDefault="002A5220" w:rsidP="00C3573C">
            <w:pPr>
              <w:spacing w:line="240" w:lineRule="auto"/>
              <w:rPr>
                <w:sz w:val="20"/>
                <w:szCs w:val="20"/>
              </w:rPr>
            </w:pPr>
            <w:r w:rsidRPr="003676BE">
              <w:rPr>
                <w:sz w:val="20"/>
                <w:szCs w:val="20"/>
              </w:rPr>
              <w:t>JHU SOM Clinician Scientist Career Development Awards</w:t>
            </w:r>
          </w:p>
        </w:tc>
        <w:tc>
          <w:tcPr>
            <w:tcW w:w="3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220" w:rsidRDefault="00B716A4" w:rsidP="00C3573C">
            <w:pPr>
              <w:spacing w:line="240" w:lineRule="auto"/>
              <w:jc w:val="center"/>
              <w:rPr>
                <w:sz w:val="20"/>
                <w:szCs w:val="20"/>
              </w:rPr>
            </w:pPr>
            <w:hyperlink r:id="rId6" w:history="1">
              <w:r w:rsidR="002A5220" w:rsidRPr="00496DAA">
                <w:rPr>
                  <w:rStyle w:val="Hyperlink"/>
                  <w:sz w:val="20"/>
                  <w:szCs w:val="20"/>
                </w:rPr>
                <w:t>http://www.hopkinsmedicine.org/research/resources/offices-policies/ora/handbook/csaawards.html</w:t>
              </w:r>
            </w:hyperlink>
          </w:p>
          <w:p w:rsidR="002A5220" w:rsidRDefault="002A5220" w:rsidP="00C3573C">
            <w:pPr>
              <w:spacing w:line="240" w:lineRule="auto"/>
              <w:jc w:val="center"/>
              <w:rPr>
                <w:sz w:val="20"/>
                <w:szCs w:val="20"/>
              </w:rPr>
            </w:pPr>
          </w:p>
        </w:tc>
        <w:tc>
          <w:tcPr>
            <w:tcW w:w="5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220" w:rsidRPr="005F5B7E" w:rsidRDefault="002A5220" w:rsidP="00C3573C">
            <w:pPr>
              <w:spacing w:before="100" w:beforeAutospacing="1" w:after="100" w:afterAutospacing="1" w:line="240" w:lineRule="auto"/>
              <w:rPr>
                <w:rFonts w:eastAsia="Times New Roman"/>
                <w:color w:val="auto"/>
                <w:sz w:val="20"/>
                <w:szCs w:val="20"/>
                <w:lang w:val="en"/>
              </w:rPr>
            </w:pPr>
            <w:r w:rsidRPr="005F5B7E">
              <w:rPr>
                <w:sz w:val="20"/>
                <w:szCs w:val="20"/>
                <w:lang w:val="en"/>
              </w:rPr>
              <w:t xml:space="preserve">In an effort to promote the research career development of young faculty physicians in the clinical departments, the School of Medicine has created a fund for the provision of salary and fringe benefits. Allocations from this fund are based on a competitive application process which is tied closely to concurrent efforts to obtain external support of research. This initiative has been developed to address the problem of increasing pressures on young faculty to expend substantial clinical effort in order to generate sufficient funds to support their salaries. The purpose of these awards is to protect the research time of qualified young faculty. </w:t>
            </w:r>
            <w:r w:rsidRPr="005F5B7E">
              <w:rPr>
                <w:b/>
                <w:bCs/>
                <w:i/>
                <w:iCs/>
                <w:sz w:val="20"/>
                <w:szCs w:val="20"/>
              </w:rPr>
              <w:t>Eligibility</w:t>
            </w:r>
            <w:r w:rsidRPr="005F5B7E">
              <w:rPr>
                <w:sz w:val="20"/>
                <w:szCs w:val="20"/>
              </w:rPr>
              <w:t xml:space="preserve">: </w:t>
            </w:r>
            <w:r w:rsidRPr="005F5B7E">
              <w:rPr>
                <w:sz w:val="20"/>
                <w:szCs w:val="20"/>
                <w:lang w:val="en"/>
              </w:rPr>
              <w:t xml:space="preserve"> </w:t>
            </w:r>
            <w:r w:rsidRPr="005F5B7E">
              <w:rPr>
                <w:rFonts w:eastAsia="Times New Roman"/>
                <w:color w:val="auto"/>
                <w:sz w:val="20"/>
                <w:szCs w:val="20"/>
                <w:lang w:val="en"/>
              </w:rPr>
              <w:t>M.D. degree (or equivalent); Full-time primary appointment as instructor or assistant professor in a clinical department, salaried by the University at the time of initiation of the award</w:t>
            </w:r>
            <w:r>
              <w:rPr>
                <w:rFonts w:eastAsia="Times New Roman"/>
                <w:color w:val="auto"/>
                <w:sz w:val="20"/>
                <w:szCs w:val="20"/>
                <w:lang w:val="en"/>
              </w:rPr>
              <w:t xml:space="preserve">; </w:t>
            </w:r>
            <w:r w:rsidRPr="005F5B7E">
              <w:rPr>
                <w:rFonts w:eastAsia="Times New Roman"/>
                <w:color w:val="auto"/>
                <w:sz w:val="20"/>
                <w:szCs w:val="20"/>
                <w:lang w:val="en"/>
              </w:rPr>
              <w:t>Nomination by the department director and commitment to permit at least 75% research effort if an award is made</w:t>
            </w:r>
            <w:r>
              <w:rPr>
                <w:rFonts w:eastAsia="Times New Roman"/>
                <w:color w:val="auto"/>
                <w:sz w:val="20"/>
                <w:szCs w:val="20"/>
                <w:lang w:val="en"/>
              </w:rPr>
              <w:t xml:space="preserve">; </w:t>
            </w:r>
            <w:r w:rsidRPr="005F5B7E">
              <w:rPr>
                <w:rFonts w:eastAsia="Times New Roman"/>
                <w:color w:val="auto"/>
                <w:sz w:val="20"/>
                <w:szCs w:val="20"/>
                <w:lang w:val="en"/>
              </w:rPr>
              <w:t xml:space="preserve">Submission of an existing, pending or draft application for external research support - especially career development/ mentored awards (e.g., NIH </w:t>
            </w:r>
            <w:r w:rsidRPr="005F5B7E">
              <w:rPr>
                <w:rFonts w:eastAsia="Times New Roman"/>
                <w:color w:val="auto"/>
                <w:sz w:val="20"/>
                <w:szCs w:val="20"/>
                <w:lang w:val="en"/>
              </w:rPr>
              <w:lastRenderedPageBreak/>
              <w:t>K08, K23) or other career awards for new investigators obtained through a competitive peer review process (federal or non-federal)</w:t>
            </w:r>
            <w:r>
              <w:rPr>
                <w:rFonts w:eastAsia="Times New Roman"/>
                <w:color w:val="auto"/>
                <w:sz w:val="20"/>
                <w:szCs w:val="20"/>
                <w:lang w:val="en"/>
              </w:rPr>
              <w:t xml:space="preserve">; </w:t>
            </w:r>
            <w:r w:rsidRPr="005F5B7E">
              <w:rPr>
                <w:rFonts w:eastAsia="Times New Roman"/>
                <w:color w:val="auto"/>
                <w:sz w:val="20"/>
                <w:szCs w:val="20"/>
                <w:lang w:val="en"/>
              </w:rPr>
              <w:t>Active role as a clinician and evidence that the award of a CSA will in fact result in protection of research time which otherwise would be devoted to clinical practice</w:t>
            </w:r>
          </w:p>
        </w:tc>
        <w:tc>
          <w:tcPr>
            <w:tcW w:w="1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220" w:rsidRPr="00C964F0" w:rsidRDefault="002A5220" w:rsidP="00C3573C">
            <w:pPr>
              <w:spacing w:line="240" w:lineRule="auto"/>
              <w:jc w:val="center"/>
              <w:rPr>
                <w:sz w:val="20"/>
                <w:szCs w:val="20"/>
              </w:rPr>
            </w:pPr>
            <w:r>
              <w:rPr>
                <w:sz w:val="20"/>
                <w:szCs w:val="20"/>
              </w:rPr>
              <w:lastRenderedPageBreak/>
              <w:t>Up to $80,000/</w:t>
            </w:r>
            <w:proofErr w:type="spellStart"/>
            <w:r>
              <w:rPr>
                <w:sz w:val="20"/>
                <w:szCs w:val="20"/>
              </w:rPr>
              <w:t>yr</w:t>
            </w:r>
            <w:proofErr w:type="spellEnd"/>
          </w:p>
        </w:tc>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33A4" w:rsidRDefault="002B33A4" w:rsidP="00C3573C">
            <w:pPr>
              <w:spacing w:line="240" w:lineRule="auto"/>
              <w:jc w:val="center"/>
              <w:rPr>
                <w:sz w:val="20"/>
                <w:szCs w:val="20"/>
              </w:rPr>
            </w:pPr>
            <w:r>
              <w:rPr>
                <w:sz w:val="20"/>
                <w:szCs w:val="20"/>
              </w:rPr>
              <w:t>4/1/</w:t>
            </w:r>
            <w:r w:rsidR="00B06ADE">
              <w:rPr>
                <w:sz w:val="20"/>
                <w:szCs w:val="20"/>
              </w:rPr>
              <w:t>18</w:t>
            </w:r>
          </w:p>
          <w:p w:rsidR="002A5220" w:rsidRDefault="002B33A4" w:rsidP="00C3573C">
            <w:pPr>
              <w:spacing w:line="240" w:lineRule="auto"/>
              <w:jc w:val="center"/>
              <w:rPr>
                <w:sz w:val="20"/>
                <w:szCs w:val="20"/>
              </w:rPr>
            </w:pPr>
            <w:r>
              <w:rPr>
                <w:sz w:val="20"/>
                <w:szCs w:val="20"/>
              </w:rPr>
              <w:t>12/8/18</w:t>
            </w:r>
          </w:p>
          <w:p w:rsidR="002A5220" w:rsidRPr="00C964F0" w:rsidRDefault="002A5220" w:rsidP="00C3573C">
            <w:pPr>
              <w:spacing w:line="240" w:lineRule="auto"/>
              <w:jc w:val="center"/>
              <w:rPr>
                <w:sz w:val="20"/>
                <w:szCs w:val="20"/>
              </w:rPr>
            </w:pPr>
          </w:p>
        </w:tc>
      </w:tr>
      <w:tr w:rsidR="002A5220" w:rsidRPr="00C964F0" w:rsidTr="00C3573C">
        <w:trPr>
          <w:trHeight w:val="322"/>
        </w:trPr>
        <w:tc>
          <w:tcPr>
            <w:tcW w:w="1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220" w:rsidRPr="00C964F0" w:rsidRDefault="00B716A4" w:rsidP="00C3573C">
            <w:pPr>
              <w:spacing w:line="240" w:lineRule="auto"/>
              <w:rPr>
                <w:color w:val="auto"/>
                <w:sz w:val="20"/>
                <w:szCs w:val="20"/>
              </w:rPr>
            </w:pPr>
            <w:hyperlink r:id="rId7" w:history="1">
              <w:r w:rsidR="002A5220" w:rsidRPr="00C964F0">
                <w:rPr>
                  <w:rStyle w:val="Hyperlink"/>
                  <w:sz w:val="20"/>
                  <w:szCs w:val="20"/>
                </w:rPr>
                <w:t>Johns Hopkins Technology Ventures</w:t>
              </w:r>
            </w:hyperlink>
          </w:p>
        </w:tc>
        <w:tc>
          <w:tcPr>
            <w:tcW w:w="3051" w:type="dxa"/>
            <w:tcBorders>
              <w:top w:val="nil"/>
              <w:left w:val="nil"/>
              <w:bottom w:val="single" w:sz="8" w:space="0" w:color="auto"/>
              <w:right w:val="single" w:sz="8" w:space="0" w:color="auto"/>
            </w:tcBorders>
            <w:tcMar>
              <w:top w:w="0" w:type="dxa"/>
              <w:left w:w="108" w:type="dxa"/>
              <w:bottom w:w="0" w:type="dxa"/>
              <w:right w:w="108" w:type="dxa"/>
            </w:tcMar>
            <w:hideMark/>
          </w:tcPr>
          <w:p w:rsidR="002A5220" w:rsidRPr="00C964F0" w:rsidRDefault="00B716A4" w:rsidP="00C3573C">
            <w:pPr>
              <w:spacing w:line="240" w:lineRule="auto"/>
              <w:jc w:val="center"/>
              <w:rPr>
                <w:sz w:val="20"/>
                <w:szCs w:val="20"/>
              </w:rPr>
            </w:pPr>
            <w:hyperlink r:id="rId8" w:history="1">
              <w:r w:rsidR="002A5220" w:rsidRPr="00C964F0">
                <w:rPr>
                  <w:rStyle w:val="Hyperlink"/>
                  <w:sz w:val="20"/>
                  <w:szCs w:val="20"/>
                </w:rPr>
                <w:t xml:space="preserve">Louis B. </w:t>
              </w:r>
              <w:proofErr w:type="spellStart"/>
              <w:r w:rsidR="002A5220" w:rsidRPr="00C964F0">
                <w:rPr>
                  <w:rStyle w:val="Hyperlink"/>
                  <w:sz w:val="20"/>
                  <w:szCs w:val="20"/>
                </w:rPr>
                <w:t>Thalheimer</w:t>
              </w:r>
              <w:proofErr w:type="spellEnd"/>
              <w:r w:rsidR="002A5220" w:rsidRPr="00C964F0">
                <w:rPr>
                  <w:rStyle w:val="Hyperlink"/>
                  <w:sz w:val="20"/>
                  <w:szCs w:val="20"/>
                </w:rPr>
                <w:t xml:space="preserve"> Fund for Translational Research</w:t>
              </w:r>
            </w:hyperlink>
          </w:p>
        </w:tc>
        <w:tc>
          <w:tcPr>
            <w:tcW w:w="5941" w:type="dxa"/>
            <w:tcBorders>
              <w:top w:val="nil"/>
              <w:left w:val="nil"/>
              <w:bottom w:val="single" w:sz="8" w:space="0" w:color="auto"/>
              <w:right w:val="single" w:sz="8" w:space="0" w:color="auto"/>
            </w:tcBorders>
            <w:tcMar>
              <w:top w:w="0" w:type="dxa"/>
              <w:left w:w="108" w:type="dxa"/>
              <w:bottom w:w="0" w:type="dxa"/>
              <w:right w:w="108" w:type="dxa"/>
            </w:tcMar>
            <w:hideMark/>
          </w:tcPr>
          <w:p w:rsidR="002A5220" w:rsidRPr="00C964F0" w:rsidRDefault="002A5220" w:rsidP="00C3573C">
            <w:pPr>
              <w:spacing w:line="240" w:lineRule="auto"/>
              <w:rPr>
                <w:sz w:val="20"/>
                <w:szCs w:val="20"/>
              </w:rPr>
            </w:pPr>
            <w:r w:rsidRPr="00C964F0">
              <w:rPr>
                <w:sz w:val="20"/>
                <w:szCs w:val="20"/>
              </w:rPr>
              <w:t xml:space="preserve">The Fund provides seed funding for vital proof-of-concept and validation studies of valuable technologies at Johns Hopkins. The technology should be unique and novel in its approach to solve an important commercial problem relative to other approaches in the scientific literature and other commercial products. Recipients are awarded $25,000 to $100,000 to conduct work over a period of up to nine months. </w:t>
            </w:r>
            <w:r w:rsidRPr="00C964F0">
              <w:rPr>
                <w:b/>
                <w:bCs/>
                <w:i/>
                <w:iCs/>
                <w:sz w:val="20"/>
                <w:szCs w:val="20"/>
              </w:rPr>
              <w:t xml:space="preserve">Eligibility: </w:t>
            </w:r>
            <w:r w:rsidRPr="00C964F0">
              <w:rPr>
                <w:sz w:val="20"/>
                <w:szCs w:val="20"/>
              </w:rPr>
              <w:t>At least one investigator must have a full, joint, or courtesy faculty appointment at Johns Hopkins University.</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2A5220" w:rsidRPr="00C964F0" w:rsidRDefault="002A5220" w:rsidP="00C3573C">
            <w:pPr>
              <w:spacing w:line="240" w:lineRule="auto"/>
              <w:jc w:val="center"/>
              <w:rPr>
                <w:sz w:val="20"/>
                <w:szCs w:val="20"/>
              </w:rPr>
            </w:pPr>
            <w:r w:rsidRPr="00C964F0">
              <w:rPr>
                <w:sz w:val="20"/>
                <w:szCs w:val="20"/>
              </w:rPr>
              <w:t>Up to $100,000</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2A5220" w:rsidRPr="00C964F0" w:rsidRDefault="002A5220" w:rsidP="00C3573C">
            <w:pPr>
              <w:spacing w:line="240" w:lineRule="auto"/>
              <w:jc w:val="center"/>
              <w:rPr>
                <w:sz w:val="20"/>
                <w:szCs w:val="20"/>
              </w:rPr>
            </w:pPr>
            <w:r w:rsidRPr="00C964F0">
              <w:rPr>
                <w:sz w:val="20"/>
                <w:szCs w:val="20"/>
              </w:rPr>
              <w:t>3/15/2017</w:t>
            </w:r>
          </w:p>
        </w:tc>
      </w:tr>
      <w:tr w:rsidR="002A5220" w:rsidRPr="00C964F0" w:rsidTr="00C3573C">
        <w:trPr>
          <w:trHeight w:val="322"/>
        </w:trPr>
        <w:tc>
          <w:tcPr>
            <w:tcW w:w="1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5220" w:rsidRPr="00C964F0" w:rsidRDefault="00B716A4" w:rsidP="00C3573C">
            <w:pPr>
              <w:spacing w:line="240" w:lineRule="auto"/>
              <w:rPr>
                <w:sz w:val="20"/>
                <w:szCs w:val="20"/>
              </w:rPr>
            </w:pPr>
            <w:hyperlink r:id="rId9" w:history="1">
              <w:r w:rsidR="002A5220" w:rsidRPr="00C964F0">
                <w:rPr>
                  <w:rStyle w:val="Hyperlink"/>
                  <w:sz w:val="20"/>
                  <w:szCs w:val="20"/>
                </w:rPr>
                <w:t>Office of the Provost, Faculty Affairs Team</w:t>
              </w:r>
            </w:hyperlink>
          </w:p>
        </w:tc>
        <w:tc>
          <w:tcPr>
            <w:tcW w:w="3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5220" w:rsidRPr="00C964F0" w:rsidRDefault="00B716A4" w:rsidP="00C3573C">
            <w:pPr>
              <w:spacing w:line="240" w:lineRule="auto"/>
              <w:jc w:val="center"/>
              <w:rPr>
                <w:sz w:val="20"/>
                <w:szCs w:val="20"/>
              </w:rPr>
            </w:pPr>
            <w:hyperlink r:id="rId10" w:history="1">
              <w:r w:rsidR="002A5220" w:rsidRPr="00C964F0">
                <w:rPr>
                  <w:rStyle w:val="Hyperlink"/>
                  <w:sz w:val="20"/>
                  <w:szCs w:val="20"/>
                </w:rPr>
                <w:t>Provost's Prize for Faculty Excellence in Diversity</w:t>
              </w:r>
            </w:hyperlink>
          </w:p>
        </w:tc>
        <w:tc>
          <w:tcPr>
            <w:tcW w:w="5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5220" w:rsidRPr="00C964F0" w:rsidRDefault="002A5220" w:rsidP="00C3573C">
            <w:pPr>
              <w:spacing w:line="240" w:lineRule="auto"/>
              <w:rPr>
                <w:sz w:val="20"/>
                <w:szCs w:val="20"/>
              </w:rPr>
            </w:pPr>
            <w:r w:rsidRPr="00C964F0">
              <w:rPr>
                <w:sz w:val="20"/>
                <w:szCs w:val="20"/>
              </w:rPr>
              <w:t xml:space="preserve">For the award, diversity is broadly defined and includes issues related to underrepresented minorities, women, gender identity, sexual orientation, and/or disabilities. The prize acknowledges faculty efforts across a broad spectrum of disciplines, such as international affairs, business, education, science, health, public policy, the arts, and other fields. </w:t>
            </w:r>
            <w:r w:rsidRPr="00C964F0">
              <w:rPr>
                <w:b/>
                <w:bCs/>
                <w:i/>
                <w:iCs/>
                <w:sz w:val="20"/>
                <w:szCs w:val="20"/>
              </w:rPr>
              <w:t>Eligibility</w:t>
            </w:r>
            <w:r w:rsidRPr="00C964F0">
              <w:rPr>
                <w:sz w:val="20"/>
                <w:szCs w:val="20"/>
              </w:rPr>
              <w:t>: Current full-time Johns Hopkins faculty members in any discipline with bodies of work focused on diversity and inclusion are eligible.  Faculty members are invited to nominate a colleague, or self-nominations are encouraged.</w:t>
            </w:r>
          </w:p>
        </w:tc>
        <w:tc>
          <w:tcPr>
            <w:tcW w:w="1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5220" w:rsidRPr="00C964F0" w:rsidRDefault="002A5220" w:rsidP="00C3573C">
            <w:pPr>
              <w:spacing w:line="240" w:lineRule="auto"/>
              <w:jc w:val="center"/>
              <w:rPr>
                <w:sz w:val="20"/>
                <w:szCs w:val="20"/>
              </w:rPr>
            </w:pPr>
            <w:r w:rsidRPr="00C964F0">
              <w:rPr>
                <w:sz w:val="20"/>
                <w:szCs w:val="20"/>
              </w:rPr>
              <w:t>$50,000</w:t>
            </w:r>
          </w:p>
        </w:tc>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5220" w:rsidRPr="00C964F0" w:rsidRDefault="005E2F2A" w:rsidP="00C3573C">
            <w:pPr>
              <w:spacing w:line="240" w:lineRule="auto"/>
              <w:jc w:val="center"/>
              <w:rPr>
                <w:sz w:val="20"/>
                <w:szCs w:val="20"/>
              </w:rPr>
            </w:pPr>
            <w:r>
              <w:rPr>
                <w:sz w:val="20"/>
                <w:szCs w:val="20"/>
              </w:rPr>
              <w:t>4/6/18</w:t>
            </w:r>
          </w:p>
        </w:tc>
      </w:tr>
      <w:tr w:rsidR="002A5220" w:rsidRPr="00C964F0" w:rsidTr="00C3573C">
        <w:trPr>
          <w:trHeight w:val="322"/>
        </w:trPr>
        <w:tc>
          <w:tcPr>
            <w:tcW w:w="1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220" w:rsidRPr="00C964F0" w:rsidRDefault="00B716A4" w:rsidP="00C3573C">
            <w:pPr>
              <w:spacing w:line="240" w:lineRule="auto"/>
              <w:rPr>
                <w:sz w:val="20"/>
                <w:szCs w:val="20"/>
              </w:rPr>
            </w:pPr>
            <w:hyperlink r:id="rId11" w:history="1">
              <w:r w:rsidR="002A5220" w:rsidRPr="00C964F0">
                <w:rPr>
                  <w:rStyle w:val="Hyperlink"/>
                  <w:sz w:val="20"/>
                  <w:szCs w:val="20"/>
                </w:rPr>
                <w:t>Office of the Vice Provost for  Research</w:t>
              </w:r>
            </w:hyperlink>
          </w:p>
        </w:tc>
        <w:tc>
          <w:tcPr>
            <w:tcW w:w="3051" w:type="dxa"/>
            <w:tcBorders>
              <w:top w:val="nil"/>
              <w:left w:val="nil"/>
              <w:bottom w:val="single" w:sz="8" w:space="0" w:color="auto"/>
              <w:right w:val="single" w:sz="8" w:space="0" w:color="auto"/>
            </w:tcBorders>
            <w:tcMar>
              <w:top w:w="0" w:type="dxa"/>
              <w:left w:w="108" w:type="dxa"/>
              <w:bottom w:w="0" w:type="dxa"/>
              <w:right w:w="108" w:type="dxa"/>
            </w:tcMar>
            <w:hideMark/>
          </w:tcPr>
          <w:p w:rsidR="002A5220" w:rsidRPr="00C964F0" w:rsidRDefault="00B716A4" w:rsidP="00C3573C">
            <w:pPr>
              <w:spacing w:line="240" w:lineRule="auto"/>
              <w:jc w:val="center"/>
              <w:rPr>
                <w:sz w:val="20"/>
                <w:szCs w:val="20"/>
              </w:rPr>
            </w:pPr>
            <w:hyperlink r:id="rId12" w:history="1">
              <w:r w:rsidR="002A5220" w:rsidRPr="00C964F0">
                <w:rPr>
                  <w:rStyle w:val="Hyperlink"/>
                  <w:sz w:val="20"/>
                  <w:szCs w:val="20"/>
                </w:rPr>
                <w:t>Johns Hopkins Catalyst Awards</w:t>
              </w:r>
            </w:hyperlink>
          </w:p>
        </w:tc>
        <w:tc>
          <w:tcPr>
            <w:tcW w:w="5941" w:type="dxa"/>
            <w:tcBorders>
              <w:top w:val="nil"/>
              <w:left w:val="nil"/>
              <w:bottom w:val="single" w:sz="8" w:space="0" w:color="auto"/>
              <w:right w:val="single" w:sz="8" w:space="0" w:color="auto"/>
            </w:tcBorders>
            <w:tcMar>
              <w:top w:w="0" w:type="dxa"/>
              <w:left w:w="108" w:type="dxa"/>
              <w:bottom w:w="0" w:type="dxa"/>
              <w:right w:w="108" w:type="dxa"/>
            </w:tcMar>
            <w:hideMark/>
          </w:tcPr>
          <w:p w:rsidR="002A5220" w:rsidRPr="00C964F0" w:rsidRDefault="002A5220" w:rsidP="00C3573C">
            <w:pPr>
              <w:spacing w:line="240" w:lineRule="auto"/>
              <w:rPr>
                <w:sz w:val="20"/>
                <w:szCs w:val="20"/>
              </w:rPr>
            </w:pPr>
            <w:r w:rsidRPr="00C964F0">
              <w:rPr>
                <w:sz w:val="20"/>
                <w:szCs w:val="20"/>
              </w:rPr>
              <w:t>These grant awards of up to $75,000 support the promising research and creative endeavors of our early career faculty with the goal of launching them on a path to a sustainable and rewarding academic career.</w:t>
            </w:r>
          </w:p>
          <w:p w:rsidR="002A5220" w:rsidRPr="00C964F0" w:rsidRDefault="002A5220" w:rsidP="00C3573C">
            <w:pPr>
              <w:spacing w:line="240" w:lineRule="auto"/>
              <w:rPr>
                <w:sz w:val="20"/>
                <w:szCs w:val="20"/>
              </w:rPr>
            </w:pPr>
            <w:r w:rsidRPr="00C964F0">
              <w:rPr>
                <w:b/>
                <w:bCs/>
                <w:i/>
                <w:iCs/>
                <w:sz w:val="20"/>
                <w:szCs w:val="20"/>
              </w:rPr>
              <w:t xml:space="preserve">Eligibility: </w:t>
            </w:r>
            <w:r w:rsidRPr="00C964F0">
              <w:rPr>
                <w:sz w:val="20"/>
                <w:szCs w:val="20"/>
              </w:rPr>
              <w:t>Applications from early-career faculty in any academic or professional discipline at the university are encouraged to apply. Applicants must have been appointed to a full-time faculty position at any institution within no less than 3 years and no more than 10 years as of the March 31 deadline.</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2A5220" w:rsidRPr="00C964F0" w:rsidRDefault="002A5220" w:rsidP="00C3573C">
            <w:pPr>
              <w:spacing w:line="240" w:lineRule="auto"/>
              <w:jc w:val="center"/>
              <w:rPr>
                <w:sz w:val="20"/>
                <w:szCs w:val="20"/>
              </w:rPr>
            </w:pPr>
            <w:r w:rsidRPr="00C964F0">
              <w:rPr>
                <w:sz w:val="20"/>
                <w:szCs w:val="20"/>
              </w:rPr>
              <w:t>Up to $75,000</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2A5220" w:rsidRPr="00C964F0" w:rsidRDefault="002A5220" w:rsidP="00AF60C9">
            <w:pPr>
              <w:spacing w:line="240" w:lineRule="auto"/>
              <w:jc w:val="center"/>
              <w:rPr>
                <w:sz w:val="20"/>
                <w:szCs w:val="20"/>
              </w:rPr>
            </w:pPr>
            <w:r w:rsidRPr="00C964F0">
              <w:rPr>
                <w:sz w:val="20"/>
                <w:szCs w:val="20"/>
              </w:rPr>
              <w:t>3/</w:t>
            </w:r>
            <w:r w:rsidR="00AF60C9">
              <w:rPr>
                <w:sz w:val="20"/>
                <w:szCs w:val="20"/>
              </w:rPr>
              <w:t>19/18</w:t>
            </w:r>
          </w:p>
        </w:tc>
      </w:tr>
      <w:tr w:rsidR="002A5220" w:rsidRPr="00C964F0" w:rsidTr="00C3573C">
        <w:trPr>
          <w:trHeight w:val="322"/>
        </w:trPr>
        <w:tc>
          <w:tcPr>
            <w:tcW w:w="1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220" w:rsidRPr="00C964F0" w:rsidRDefault="00B716A4" w:rsidP="00C3573C">
            <w:pPr>
              <w:spacing w:line="240" w:lineRule="auto"/>
              <w:rPr>
                <w:sz w:val="20"/>
                <w:szCs w:val="20"/>
              </w:rPr>
            </w:pPr>
            <w:hyperlink r:id="rId13" w:history="1">
              <w:r w:rsidR="00AF60C9">
                <w:rPr>
                  <w:rStyle w:val="Hyperlink"/>
                  <w:sz w:val="20"/>
                  <w:szCs w:val="20"/>
                </w:rPr>
                <w:t>Office of the Vice Provost for</w:t>
              </w:r>
              <w:r w:rsidR="002A5220" w:rsidRPr="00C964F0">
                <w:rPr>
                  <w:rStyle w:val="Hyperlink"/>
                  <w:sz w:val="20"/>
                  <w:szCs w:val="20"/>
                </w:rPr>
                <w:t xml:space="preserve"> Research</w:t>
              </w:r>
            </w:hyperlink>
          </w:p>
        </w:tc>
        <w:tc>
          <w:tcPr>
            <w:tcW w:w="3051" w:type="dxa"/>
            <w:tcBorders>
              <w:top w:val="nil"/>
              <w:left w:val="nil"/>
              <w:bottom w:val="single" w:sz="8" w:space="0" w:color="auto"/>
              <w:right w:val="single" w:sz="8" w:space="0" w:color="auto"/>
            </w:tcBorders>
            <w:tcMar>
              <w:top w:w="0" w:type="dxa"/>
              <w:left w:w="108" w:type="dxa"/>
              <w:bottom w:w="0" w:type="dxa"/>
              <w:right w:w="108" w:type="dxa"/>
            </w:tcMar>
            <w:hideMark/>
          </w:tcPr>
          <w:p w:rsidR="002A5220" w:rsidRPr="00C964F0" w:rsidRDefault="00B716A4" w:rsidP="00AF60C9">
            <w:pPr>
              <w:spacing w:line="240" w:lineRule="auto"/>
              <w:jc w:val="center"/>
              <w:rPr>
                <w:sz w:val="20"/>
                <w:szCs w:val="20"/>
              </w:rPr>
            </w:pPr>
            <w:hyperlink r:id="rId14" w:history="1">
              <w:r w:rsidR="002A5220" w:rsidRPr="00C964F0">
                <w:rPr>
                  <w:rStyle w:val="Hyperlink"/>
                  <w:sz w:val="20"/>
                  <w:szCs w:val="20"/>
                </w:rPr>
                <w:t>Johns Hopkins Discovery Awards</w:t>
              </w:r>
            </w:hyperlink>
          </w:p>
        </w:tc>
        <w:tc>
          <w:tcPr>
            <w:tcW w:w="5941" w:type="dxa"/>
            <w:tcBorders>
              <w:top w:val="nil"/>
              <w:left w:val="nil"/>
              <w:bottom w:val="single" w:sz="8" w:space="0" w:color="auto"/>
              <w:right w:val="single" w:sz="8" w:space="0" w:color="auto"/>
            </w:tcBorders>
            <w:tcMar>
              <w:top w:w="0" w:type="dxa"/>
              <w:left w:w="108" w:type="dxa"/>
              <w:bottom w:w="0" w:type="dxa"/>
              <w:right w:w="108" w:type="dxa"/>
            </w:tcMar>
            <w:hideMark/>
          </w:tcPr>
          <w:p w:rsidR="002A5220" w:rsidRPr="00C964F0" w:rsidRDefault="002A5220" w:rsidP="00C3573C">
            <w:pPr>
              <w:spacing w:line="240" w:lineRule="auto"/>
              <w:rPr>
                <w:sz w:val="20"/>
                <w:szCs w:val="20"/>
              </w:rPr>
            </w:pPr>
            <w:r w:rsidRPr="00C964F0">
              <w:rPr>
                <w:sz w:val="20"/>
                <w:szCs w:val="20"/>
              </w:rPr>
              <w:t xml:space="preserve">These grant awards provide up to $100,000 to cross-divisional teams who are poised to arrive at important discoveries or creative works. The expectation is that these awards will spark new, synergistic interactions between investigators across the institution and lead to work of the highest quality and impact. These awards are not intended to support already established projects or minimal extensions of ongoing research or </w:t>
            </w:r>
            <w:r w:rsidRPr="00C964F0">
              <w:rPr>
                <w:sz w:val="20"/>
                <w:szCs w:val="20"/>
              </w:rPr>
              <w:lastRenderedPageBreak/>
              <w:t xml:space="preserve">professional programs. </w:t>
            </w:r>
            <w:r w:rsidR="00AF60C9" w:rsidRPr="00AF60C9">
              <w:rPr>
                <w:sz w:val="20"/>
                <w:szCs w:val="20"/>
              </w:rPr>
              <w:t xml:space="preserve">Support may be used for salary, graduate students, postdoctoral fellows or technicians, equipment, travel, and/or consumables. </w:t>
            </w:r>
            <w:r w:rsidRPr="00C964F0">
              <w:rPr>
                <w:b/>
                <w:bCs/>
                <w:i/>
                <w:iCs/>
                <w:sz w:val="20"/>
                <w:szCs w:val="20"/>
              </w:rPr>
              <w:t xml:space="preserve">Eligibility: </w:t>
            </w:r>
            <w:r w:rsidRPr="00C964F0">
              <w:rPr>
                <w:sz w:val="20"/>
                <w:szCs w:val="20"/>
              </w:rPr>
              <w:t> Applications must include at least two faculty members and/or APL staff members representing at least two separate schools/divisions or affiliates of the university.</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2A5220" w:rsidRPr="00C964F0" w:rsidRDefault="002A5220" w:rsidP="00C3573C">
            <w:pPr>
              <w:spacing w:line="240" w:lineRule="auto"/>
              <w:jc w:val="center"/>
              <w:rPr>
                <w:sz w:val="20"/>
                <w:szCs w:val="20"/>
              </w:rPr>
            </w:pPr>
            <w:r w:rsidRPr="00C964F0">
              <w:rPr>
                <w:sz w:val="20"/>
                <w:szCs w:val="20"/>
              </w:rPr>
              <w:lastRenderedPageBreak/>
              <w:t>Up to $100,000</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2A5220" w:rsidRPr="00C964F0" w:rsidRDefault="002A5220" w:rsidP="00AF60C9">
            <w:pPr>
              <w:spacing w:line="240" w:lineRule="auto"/>
              <w:jc w:val="center"/>
              <w:rPr>
                <w:sz w:val="20"/>
                <w:szCs w:val="20"/>
              </w:rPr>
            </w:pPr>
            <w:r w:rsidRPr="00C964F0">
              <w:rPr>
                <w:sz w:val="20"/>
                <w:szCs w:val="20"/>
              </w:rPr>
              <w:t>3/</w:t>
            </w:r>
            <w:r w:rsidR="00AF60C9">
              <w:rPr>
                <w:sz w:val="20"/>
                <w:szCs w:val="20"/>
              </w:rPr>
              <w:t>25</w:t>
            </w:r>
            <w:r w:rsidRPr="00C964F0">
              <w:rPr>
                <w:sz w:val="20"/>
                <w:szCs w:val="20"/>
              </w:rPr>
              <w:t>/</w:t>
            </w:r>
            <w:r w:rsidR="00AF60C9">
              <w:rPr>
                <w:sz w:val="20"/>
                <w:szCs w:val="20"/>
              </w:rPr>
              <w:t>2018</w:t>
            </w:r>
          </w:p>
        </w:tc>
      </w:tr>
      <w:tr w:rsidR="002A5220" w:rsidRPr="00C964F0" w:rsidTr="00C3573C">
        <w:trPr>
          <w:trHeight w:val="322"/>
        </w:trPr>
        <w:tc>
          <w:tcPr>
            <w:tcW w:w="1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220" w:rsidRDefault="002A5220" w:rsidP="00C3573C">
            <w:pPr>
              <w:spacing w:line="240" w:lineRule="auto"/>
              <w:rPr>
                <w:sz w:val="20"/>
                <w:szCs w:val="20"/>
              </w:rPr>
            </w:pPr>
            <w:bookmarkStart w:id="0" w:name="_GoBack"/>
            <w:bookmarkEnd w:id="0"/>
            <w:r>
              <w:rPr>
                <w:sz w:val="20"/>
                <w:szCs w:val="20"/>
              </w:rPr>
              <w:t>Women's Board</w:t>
            </w:r>
          </w:p>
        </w:tc>
        <w:tc>
          <w:tcPr>
            <w:tcW w:w="3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220" w:rsidRDefault="00B716A4" w:rsidP="00C3573C">
            <w:pPr>
              <w:spacing w:line="240" w:lineRule="auto"/>
              <w:jc w:val="center"/>
              <w:rPr>
                <w:sz w:val="20"/>
                <w:szCs w:val="20"/>
              </w:rPr>
            </w:pPr>
            <w:hyperlink r:id="rId15" w:history="1">
              <w:r w:rsidR="002A5220" w:rsidRPr="00496DAA">
                <w:rPr>
                  <w:rStyle w:val="Hyperlink"/>
                  <w:sz w:val="20"/>
                  <w:szCs w:val="20"/>
                </w:rPr>
                <w:t>http://womensboard.jhmi.edu/how-funds-are-disbuursed/</w:t>
              </w:r>
            </w:hyperlink>
          </w:p>
          <w:p w:rsidR="002A5220" w:rsidRDefault="002A5220" w:rsidP="00C3573C">
            <w:pPr>
              <w:spacing w:line="240" w:lineRule="auto"/>
              <w:jc w:val="center"/>
              <w:rPr>
                <w:sz w:val="20"/>
                <w:szCs w:val="20"/>
              </w:rPr>
            </w:pPr>
          </w:p>
        </w:tc>
        <w:tc>
          <w:tcPr>
            <w:tcW w:w="5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220" w:rsidRDefault="002A5220" w:rsidP="00C3573C">
            <w:pPr>
              <w:spacing w:line="240" w:lineRule="auto"/>
              <w:rPr>
                <w:sz w:val="20"/>
                <w:szCs w:val="20"/>
              </w:rPr>
            </w:pPr>
            <w:r w:rsidRPr="003676BE">
              <w:rPr>
                <w:sz w:val="20"/>
                <w:szCs w:val="20"/>
              </w:rPr>
              <w:t xml:space="preserve">Each fall, grant applications are solicited from the Chairmen of the Clinical Departments of The Johns Hopkins Hospital. Each Clinical Department may submit only ONE grant application per year. </w:t>
            </w:r>
          </w:p>
        </w:tc>
        <w:tc>
          <w:tcPr>
            <w:tcW w:w="1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220" w:rsidRPr="00C964F0" w:rsidRDefault="002A5220" w:rsidP="00C3573C">
            <w:pPr>
              <w:spacing w:line="240" w:lineRule="auto"/>
              <w:jc w:val="center"/>
              <w:rPr>
                <w:sz w:val="20"/>
                <w:szCs w:val="20"/>
              </w:rPr>
            </w:pPr>
            <w:r>
              <w:rPr>
                <w:sz w:val="20"/>
                <w:szCs w:val="20"/>
              </w:rPr>
              <w:t>Varies</w:t>
            </w:r>
          </w:p>
        </w:tc>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220" w:rsidRDefault="002A5220" w:rsidP="00C3573C">
            <w:pPr>
              <w:spacing w:line="240" w:lineRule="auto"/>
              <w:jc w:val="center"/>
              <w:rPr>
                <w:sz w:val="20"/>
                <w:szCs w:val="20"/>
              </w:rPr>
            </w:pPr>
            <w:r>
              <w:rPr>
                <w:sz w:val="20"/>
                <w:szCs w:val="20"/>
              </w:rPr>
              <w:t>12/15/201</w:t>
            </w:r>
            <w:r w:rsidR="00AF60C9">
              <w:rPr>
                <w:sz w:val="20"/>
                <w:szCs w:val="20"/>
              </w:rPr>
              <w:t>8</w:t>
            </w:r>
          </w:p>
          <w:p w:rsidR="002A5220" w:rsidRPr="00C964F0" w:rsidRDefault="002A5220" w:rsidP="00C3573C">
            <w:pPr>
              <w:spacing w:line="240" w:lineRule="auto"/>
              <w:jc w:val="center"/>
              <w:rPr>
                <w:sz w:val="20"/>
                <w:szCs w:val="20"/>
              </w:rPr>
            </w:pPr>
          </w:p>
        </w:tc>
      </w:tr>
      <w:tr w:rsidR="002B33A4" w:rsidRPr="00C964F0" w:rsidTr="00C3573C">
        <w:trPr>
          <w:trHeight w:val="322"/>
        </w:trPr>
        <w:tc>
          <w:tcPr>
            <w:tcW w:w="1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33A4" w:rsidRPr="002B33A4" w:rsidRDefault="00B716A4" w:rsidP="00C3573C">
            <w:pPr>
              <w:spacing w:line="240" w:lineRule="auto"/>
              <w:rPr>
                <w:sz w:val="20"/>
                <w:szCs w:val="20"/>
              </w:rPr>
            </w:pPr>
            <w:hyperlink r:id="rId16" w:history="1">
              <w:r w:rsidR="002B33A4" w:rsidRPr="002B33A4">
                <w:rPr>
                  <w:rStyle w:val="Hyperlink"/>
                  <w:sz w:val="20"/>
                  <w:szCs w:val="20"/>
                </w:rPr>
                <w:t>Alliance for a Healthier World</w:t>
              </w:r>
            </w:hyperlink>
          </w:p>
        </w:tc>
        <w:tc>
          <w:tcPr>
            <w:tcW w:w="3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33A4" w:rsidRPr="002B33A4" w:rsidRDefault="00B716A4" w:rsidP="00C3573C">
            <w:pPr>
              <w:spacing w:line="240" w:lineRule="auto"/>
              <w:jc w:val="center"/>
              <w:rPr>
                <w:sz w:val="20"/>
                <w:szCs w:val="20"/>
              </w:rPr>
            </w:pPr>
            <w:hyperlink r:id="rId17" w:history="1">
              <w:r w:rsidR="002B33A4" w:rsidRPr="002B33A4">
                <w:rPr>
                  <w:rStyle w:val="Hyperlink"/>
                  <w:sz w:val="20"/>
                  <w:szCs w:val="20"/>
                </w:rPr>
                <w:t>Healthier World Challenge: Implementation Grant</w:t>
              </w:r>
            </w:hyperlink>
          </w:p>
        </w:tc>
        <w:tc>
          <w:tcPr>
            <w:tcW w:w="5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33A4" w:rsidRPr="002B33A4" w:rsidRDefault="002B33A4" w:rsidP="002B33A4">
            <w:pPr>
              <w:spacing w:line="240" w:lineRule="auto"/>
              <w:rPr>
                <w:sz w:val="20"/>
                <w:szCs w:val="20"/>
              </w:rPr>
            </w:pPr>
            <w:r w:rsidRPr="002B33A4">
              <w:rPr>
                <w:sz w:val="20"/>
                <w:szCs w:val="20"/>
              </w:rPr>
              <w:t>Implementation grants are awarded to enable teams to produce findings and innovations sufficient to beneficially impact communities in LMIC and/or to procure next-phase funding from government, foundation, and corporate sources. This is where ideas started under planning grants (or other, already developed concepts) can be translated to the real-world.</w:t>
            </w:r>
          </w:p>
          <w:p w:rsidR="002B33A4" w:rsidRPr="002B33A4" w:rsidRDefault="002B33A4" w:rsidP="002B33A4">
            <w:pPr>
              <w:spacing w:line="240" w:lineRule="auto"/>
              <w:rPr>
                <w:sz w:val="20"/>
                <w:szCs w:val="20"/>
              </w:rPr>
            </w:pPr>
            <w:r w:rsidRPr="002B33A4">
              <w:rPr>
                <w:b/>
                <w:i/>
                <w:sz w:val="20"/>
                <w:szCs w:val="20"/>
              </w:rPr>
              <w:t>Eligibility:</w:t>
            </w:r>
            <w:r w:rsidRPr="002B33A4">
              <w:rPr>
                <w:sz w:val="20"/>
                <w:szCs w:val="20"/>
              </w:rPr>
              <w:t xml:space="preserve"> The Principal Investigator (PI) must be a full-time JHU faculty member who is eligible to serve as a PI for grants in their Division or School. PIs will be requested to submit a letter of support from their relevant Dean or Department Chair.</w:t>
            </w:r>
          </w:p>
        </w:tc>
        <w:tc>
          <w:tcPr>
            <w:tcW w:w="1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33A4" w:rsidRDefault="002B33A4" w:rsidP="00C3573C">
            <w:pPr>
              <w:spacing w:line="240" w:lineRule="auto"/>
              <w:jc w:val="center"/>
              <w:rPr>
                <w:sz w:val="20"/>
                <w:szCs w:val="20"/>
              </w:rPr>
            </w:pPr>
          </w:p>
        </w:tc>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33A4" w:rsidRDefault="002B33A4" w:rsidP="002B33A4">
            <w:pPr>
              <w:spacing w:line="240" w:lineRule="auto"/>
              <w:jc w:val="center"/>
              <w:rPr>
                <w:sz w:val="20"/>
                <w:szCs w:val="20"/>
              </w:rPr>
            </w:pPr>
            <w:r>
              <w:rPr>
                <w:sz w:val="20"/>
                <w:szCs w:val="20"/>
              </w:rPr>
              <w:t>6/1/18</w:t>
            </w:r>
          </w:p>
        </w:tc>
      </w:tr>
    </w:tbl>
    <w:p w:rsidR="002A5220" w:rsidRDefault="002A5220" w:rsidP="002A5220"/>
    <w:p w:rsidR="002A5220" w:rsidRDefault="002A5220" w:rsidP="002A5220"/>
    <w:p w:rsidR="00C3524C" w:rsidRDefault="00C3524C"/>
    <w:sectPr w:rsidR="00C3524C" w:rsidSect="002A52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20"/>
    <w:rsid w:val="002A5220"/>
    <w:rsid w:val="002B33A4"/>
    <w:rsid w:val="005316ED"/>
    <w:rsid w:val="005E2F2A"/>
    <w:rsid w:val="00A61EE4"/>
    <w:rsid w:val="00AF60C9"/>
    <w:rsid w:val="00B06ADE"/>
    <w:rsid w:val="00B716A4"/>
    <w:rsid w:val="00C3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7DE86-9FA1-43BA-9844-BEEE45D2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20"/>
    <w:pPr>
      <w:spacing w:after="0" w:line="276" w:lineRule="auto"/>
    </w:pPr>
    <w:rPr>
      <w:rFonts w:ascii="Arial" w:eastAsia="Calibri"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A5220"/>
    <w:rPr>
      <w:color w:val="0000FF"/>
      <w:u w:val="single"/>
    </w:rPr>
  </w:style>
  <w:style w:type="character" w:styleId="FollowedHyperlink">
    <w:name w:val="FollowedHyperlink"/>
    <w:basedOn w:val="DefaultParagraphFont"/>
    <w:uiPriority w:val="99"/>
    <w:semiHidden/>
    <w:unhideWhenUsed/>
    <w:rsid w:val="00B06A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tures.jhu.edu/wp-content/uploads/2014/11/Request-for-Applications-2017.pdf" TargetMode="External"/><Relationship Id="rId13" Type="http://schemas.openxmlformats.org/officeDocument/2006/relationships/hyperlink" Target="https://research.jhu.ed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entures.jhu.edu/funding/" TargetMode="External"/><Relationship Id="rId12" Type="http://schemas.openxmlformats.org/officeDocument/2006/relationships/hyperlink" Target="https://research.jhu.edu/major-initiatives/catalyst-awards/" TargetMode="External"/><Relationship Id="rId17" Type="http://schemas.openxmlformats.org/officeDocument/2006/relationships/hyperlink" Target="https://www.ahealthierworld.jhu.edu/ahw-grants-ig" TargetMode="External"/><Relationship Id="rId2" Type="http://schemas.openxmlformats.org/officeDocument/2006/relationships/settings" Target="settings.xml"/><Relationship Id="rId16" Type="http://schemas.openxmlformats.org/officeDocument/2006/relationships/hyperlink" Target="https://www.ahealthierworld.jhu.edu/" TargetMode="External"/><Relationship Id="rId1" Type="http://schemas.openxmlformats.org/officeDocument/2006/relationships/styles" Target="styles.xml"/><Relationship Id="rId6" Type="http://schemas.openxmlformats.org/officeDocument/2006/relationships/hyperlink" Target="http://www.hopkinsmedicine.org/research/resources/offices-policies/ora/handbook/csaawards.html" TargetMode="External"/><Relationship Id="rId11" Type="http://schemas.openxmlformats.org/officeDocument/2006/relationships/hyperlink" Target="https://research.jhu.edu/" TargetMode="External"/><Relationship Id="rId5" Type="http://schemas.openxmlformats.org/officeDocument/2006/relationships/hyperlink" Target="http://ictr.johnshopkins.edu/funding_opps/funding-opportunities/" TargetMode="External"/><Relationship Id="rId15" Type="http://schemas.openxmlformats.org/officeDocument/2006/relationships/hyperlink" Target="http://womensboard.jhmi.edu/how-funds-are-disbuursed/" TargetMode="External"/><Relationship Id="rId10" Type="http://schemas.openxmlformats.org/officeDocument/2006/relationships/hyperlink" Target="http://web.jhu.edu/administration/provost/programs_services/faculty_affairs/FDI_awards" TargetMode="External"/><Relationship Id="rId19" Type="http://schemas.openxmlformats.org/officeDocument/2006/relationships/theme" Target="theme/theme1.xml"/><Relationship Id="rId4" Type="http://schemas.openxmlformats.org/officeDocument/2006/relationships/hyperlink" Target="http://www.hopkinsmedicine.org/neurology_neurosurgery/education/blaustein_pain/grants.html" TargetMode="External"/><Relationship Id="rId9" Type="http://schemas.openxmlformats.org/officeDocument/2006/relationships/hyperlink" Target="http://web.jhu.edu/administration/provost/programs_services/faculty_affairs/FDI_awards" TargetMode="External"/><Relationship Id="rId14" Type="http://schemas.openxmlformats.org/officeDocument/2006/relationships/hyperlink" Target="https://research.jhu.edu/major-initiatives/discovery-awards/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Levine</dc:creator>
  <cp:keywords/>
  <dc:description/>
  <cp:lastModifiedBy>Claire Levine</cp:lastModifiedBy>
  <cp:revision>2</cp:revision>
  <dcterms:created xsi:type="dcterms:W3CDTF">2020-10-15T13:09:00Z</dcterms:created>
  <dcterms:modified xsi:type="dcterms:W3CDTF">2020-10-15T13:09:00Z</dcterms:modified>
</cp:coreProperties>
</file>